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keselezo-megoldas.com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http://keselezo-megoldas.com/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keselezo-megoldas.com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keselezo-megoldas.com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